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50AC" w14:textId="4162238D" w:rsidR="00A94A07" w:rsidRDefault="00A94A07" w:rsidP="00FC275A">
      <w:pPr>
        <w:pStyle w:val="Body"/>
        <w:jc w:val="center"/>
        <w:rPr>
          <w:b/>
          <w:bCs/>
        </w:rPr>
      </w:pPr>
      <w:bookmarkStart w:id="0" w:name="_GoBack"/>
      <w:bookmarkEnd w:id="0"/>
      <w:r w:rsidRPr="00A94A07">
        <w:rPr>
          <w:b/>
          <w:bCs/>
        </w:rPr>
        <w:t>DRUMMOND WOODSUM</w:t>
      </w:r>
      <w:r w:rsidR="00FC275A">
        <w:rPr>
          <w:b/>
          <w:bCs/>
        </w:rPr>
        <w:t xml:space="preserve">’S 2024 </w:t>
      </w:r>
      <w:r w:rsidRPr="00A94A07">
        <w:rPr>
          <w:b/>
          <w:bCs/>
        </w:rPr>
        <w:t xml:space="preserve">LEGAL UPDATE </w:t>
      </w:r>
    </w:p>
    <w:p w14:paraId="44C09A6F" w14:textId="3A0C523A" w:rsidR="00A94A07" w:rsidRDefault="00A94A07" w:rsidP="00A94A07">
      <w:pPr>
        <w:pStyle w:val="Body"/>
        <w:jc w:val="center"/>
        <w:rPr>
          <w:b/>
          <w:bCs/>
        </w:rPr>
      </w:pPr>
      <w:r>
        <w:rPr>
          <w:b/>
          <w:bCs/>
        </w:rPr>
        <w:t xml:space="preserve">SUPPLEMENT TO </w:t>
      </w:r>
      <w:r w:rsidR="00FC275A">
        <w:rPr>
          <w:b/>
          <w:bCs/>
        </w:rPr>
        <w:t xml:space="preserve">MBOIA </w:t>
      </w:r>
      <w:r>
        <w:rPr>
          <w:b/>
          <w:bCs/>
        </w:rPr>
        <w:t>POWER POINT PRESENTATION</w:t>
      </w:r>
    </w:p>
    <w:p w14:paraId="724D6029" w14:textId="056A7C30" w:rsidR="00A94A07" w:rsidRPr="00A94A07" w:rsidRDefault="00A94A07" w:rsidP="00A94A07">
      <w:pPr>
        <w:pStyle w:val="Body"/>
        <w:jc w:val="center"/>
        <w:rPr>
          <w:b/>
          <w:bCs/>
        </w:rPr>
      </w:pPr>
      <w:r>
        <w:rPr>
          <w:b/>
          <w:bCs/>
        </w:rPr>
        <w:t>MAY 2</w:t>
      </w:r>
      <w:r w:rsidR="00064476">
        <w:rPr>
          <w:b/>
          <w:bCs/>
        </w:rPr>
        <w:t>1</w:t>
      </w:r>
      <w:r>
        <w:rPr>
          <w:b/>
          <w:bCs/>
        </w:rPr>
        <w:t>, 2024</w:t>
      </w:r>
    </w:p>
    <w:p w14:paraId="4A3E5B4E" w14:textId="77777777" w:rsidR="00A94A07" w:rsidRDefault="00A94A07" w:rsidP="00A94A07">
      <w:pPr>
        <w:pStyle w:val="Body"/>
        <w:rPr>
          <w:b/>
          <w:bCs/>
          <w:u w:val="single"/>
        </w:rPr>
      </w:pPr>
    </w:p>
    <w:p w14:paraId="51561CBE" w14:textId="77777777" w:rsidR="00A94A07" w:rsidRDefault="00A94A07" w:rsidP="00A94A07">
      <w:pPr>
        <w:pStyle w:val="Body"/>
        <w:rPr>
          <w:b/>
          <w:bCs/>
          <w:u w:val="single"/>
        </w:rPr>
      </w:pPr>
    </w:p>
    <w:p w14:paraId="2769B012" w14:textId="6B97FF58" w:rsidR="00A94A07" w:rsidRPr="005F2730" w:rsidRDefault="00A94A07" w:rsidP="00A94A07">
      <w:pPr>
        <w:pStyle w:val="Body"/>
        <w:rPr>
          <w:b/>
          <w:bCs/>
          <w:u w:val="single"/>
        </w:rPr>
      </w:pPr>
      <w:r w:rsidRPr="005F2730">
        <w:rPr>
          <w:b/>
          <w:bCs/>
          <w:u w:val="single"/>
        </w:rPr>
        <w:t>SHORELAND ZONING/ENVIRONMENTAL PROTECTI</w:t>
      </w:r>
      <w:r w:rsidR="00064476">
        <w:rPr>
          <w:b/>
          <w:bCs/>
          <w:u w:val="single"/>
        </w:rPr>
        <w:t>ON</w:t>
      </w:r>
    </w:p>
    <w:p w14:paraId="1C946228" w14:textId="77777777" w:rsidR="00A94A07" w:rsidRDefault="00A94A07" w:rsidP="00A94A07">
      <w:pPr>
        <w:pStyle w:val="Body"/>
        <w:rPr>
          <w:b/>
          <w:bCs/>
        </w:rPr>
      </w:pPr>
      <w:r>
        <w:rPr>
          <w:b/>
          <w:bCs/>
        </w:rPr>
        <w:t xml:space="preserve"> </w:t>
      </w:r>
    </w:p>
    <w:p w14:paraId="5CC8488D" w14:textId="77777777" w:rsidR="00A94A07" w:rsidRDefault="00A94A07" w:rsidP="00A94A07">
      <w:pPr>
        <w:pStyle w:val="Body"/>
        <w:rPr>
          <w:b/>
          <w:bCs/>
        </w:rPr>
      </w:pPr>
      <w:r>
        <w:rPr>
          <w:b/>
          <w:bCs/>
          <w:lang w:val="de-DE"/>
        </w:rPr>
        <w:t xml:space="preserve">LD 2101 </w:t>
      </w:r>
      <w:r>
        <w:rPr>
          <w:b/>
          <w:bCs/>
        </w:rPr>
        <w:t xml:space="preserve">- An Act to Strengthen Shoreland Zoning Enforcement </w:t>
      </w:r>
      <w:r w:rsidRPr="006F2CD3">
        <w:t>(</w:t>
      </w:r>
      <w:r>
        <w:t>Signed by the Governor April 9, 2024)</w:t>
      </w:r>
    </w:p>
    <w:p w14:paraId="0A9442C3" w14:textId="77777777" w:rsidR="00A94A07" w:rsidRDefault="00A94A07" w:rsidP="00A94A07">
      <w:pPr>
        <w:pStyle w:val="Body"/>
      </w:pPr>
    </w:p>
    <w:p w14:paraId="74D1D7C7" w14:textId="3BC11B44" w:rsidR="00A94A07" w:rsidRDefault="00A94A07" w:rsidP="00A94A07">
      <w:pPr>
        <w:pStyle w:val="Body"/>
        <w:numPr>
          <w:ilvl w:val="0"/>
          <w:numId w:val="3"/>
        </w:numPr>
      </w:pPr>
      <w:r>
        <w:rPr>
          <w:rFonts w:eastAsia="Arial Unicode MS" w:cs="Arial Unicode MS"/>
        </w:rPr>
        <w:t xml:space="preserve">Authorizes LUPC and municipalities to take certain actions when a violation occurs on land in a shoreland zone, including: </w:t>
      </w:r>
    </w:p>
    <w:p w14:paraId="314FDC30" w14:textId="77777777" w:rsidR="00A94A07" w:rsidRPr="006F2CD3" w:rsidRDefault="00A94A07" w:rsidP="00A94A07">
      <w:pPr>
        <w:rPr>
          <w:rFonts w:cs="Arial Unicode MS"/>
        </w:rPr>
      </w:pPr>
    </w:p>
    <w:p w14:paraId="5FBEF0AE" w14:textId="750AFAC6" w:rsidR="00A94A07" w:rsidRDefault="00A94A07" w:rsidP="00A94A07">
      <w:pPr>
        <w:pStyle w:val="Body"/>
        <w:ind w:left="180"/>
        <w:rPr>
          <w:rFonts w:eastAsia="Arial Unicode MS" w:cs="Arial Unicode MS"/>
        </w:rPr>
      </w:pPr>
      <w:r>
        <w:rPr>
          <w:rFonts w:eastAsia="Arial Unicode MS" w:cs="Arial Unicode MS"/>
        </w:rPr>
        <w:t xml:space="preserve">(1) Denying, suspending or revoking a permit for further development of land on which </w:t>
      </w:r>
      <w:r w:rsidR="00903624">
        <w:rPr>
          <w:rFonts w:eastAsia="Arial Unicode MS" w:cs="Arial Unicode MS"/>
        </w:rPr>
        <w:t>a</w:t>
      </w:r>
      <w:r>
        <w:rPr>
          <w:rFonts w:eastAsia="Arial Unicode MS" w:cs="Arial Unicode MS"/>
        </w:rPr>
        <w:t xml:space="preserve"> violation occurred until </w:t>
      </w:r>
      <w:r w:rsidR="00903624">
        <w:rPr>
          <w:rFonts w:eastAsia="Arial Unicode MS" w:cs="Arial Unicode MS"/>
        </w:rPr>
        <w:t>it</w:t>
      </w:r>
      <w:r>
        <w:rPr>
          <w:rFonts w:eastAsia="Arial Unicode MS" w:cs="Arial Unicode MS"/>
        </w:rPr>
        <w:t xml:space="preserve"> is corrected and any</w:t>
      </w:r>
      <w:r w:rsidR="001E39BD">
        <w:rPr>
          <w:rFonts w:eastAsia="Arial Unicode MS" w:cs="Arial Unicode MS"/>
        </w:rPr>
        <w:t xml:space="preserve"> </w:t>
      </w:r>
      <w:r>
        <w:rPr>
          <w:rFonts w:eastAsia="Arial Unicode MS" w:cs="Arial Unicode MS"/>
        </w:rPr>
        <w:t>penalties and</w:t>
      </w:r>
      <w:r w:rsidR="00E27FF8">
        <w:rPr>
          <w:rFonts w:eastAsia="Arial Unicode MS" w:cs="Arial Unicode MS"/>
        </w:rPr>
        <w:t xml:space="preserve"> court awarded</w:t>
      </w:r>
      <w:r>
        <w:rPr>
          <w:rFonts w:eastAsia="Arial Unicode MS" w:cs="Arial Unicode MS"/>
        </w:rPr>
        <w:t xml:space="preserve"> fees are paid; </w:t>
      </w:r>
    </w:p>
    <w:p w14:paraId="3B243BD9" w14:textId="77777777" w:rsidR="00A94A07" w:rsidRDefault="00A94A07" w:rsidP="00A94A07">
      <w:pPr>
        <w:pStyle w:val="Body"/>
        <w:ind w:left="180"/>
        <w:rPr>
          <w:rFonts w:eastAsia="Arial Unicode MS" w:cs="Arial Unicode MS"/>
        </w:rPr>
      </w:pPr>
    </w:p>
    <w:p w14:paraId="7818B83D" w14:textId="3DF0A474" w:rsidR="00A94A07" w:rsidRDefault="00A94A07" w:rsidP="00A94A07">
      <w:pPr>
        <w:pStyle w:val="Body"/>
        <w:ind w:left="180"/>
        <w:rPr>
          <w:rFonts w:eastAsia="Arial Unicode MS" w:cs="Arial Unicode MS"/>
        </w:rPr>
      </w:pPr>
      <w:r>
        <w:rPr>
          <w:rFonts w:eastAsia="Arial Unicode MS" w:cs="Arial Unicode MS"/>
        </w:rPr>
        <w:t>(2) Filing a civil action against the owner or occupant to recover unpaid penalties, the cost to correct the violation,</w:t>
      </w:r>
      <w:r w:rsidR="00903624">
        <w:rPr>
          <w:rFonts w:eastAsia="Arial Unicode MS" w:cs="Arial Unicode MS"/>
        </w:rPr>
        <w:t xml:space="preserve"> and</w:t>
      </w:r>
      <w:r>
        <w:rPr>
          <w:rFonts w:eastAsia="Arial Unicode MS" w:cs="Arial Unicode MS"/>
        </w:rPr>
        <w:t xml:space="preserve"> court costs and reasonable attorney's fees; and </w:t>
      </w:r>
    </w:p>
    <w:p w14:paraId="6760F624" w14:textId="77777777" w:rsidR="00A94A07" w:rsidRDefault="00A94A07" w:rsidP="00A94A07">
      <w:pPr>
        <w:pStyle w:val="Body"/>
        <w:ind w:left="180"/>
        <w:rPr>
          <w:rFonts w:eastAsia="Arial Unicode MS" w:cs="Arial Unicode MS"/>
        </w:rPr>
      </w:pPr>
    </w:p>
    <w:p w14:paraId="0DCFB832" w14:textId="77777777" w:rsidR="00A94A07" w:rsidRDefault="00A94A07" w:rsidP="00A94A07">
      <w:pPr>
        <w:pStyle w:val="Body"/>
        <w:ind w:left="180"/>
        <w:rPr>
          <w:rFonts w:eastAsia="Arial Unicode MS" w:cs="Arial Unicode MS"/>
        </w:rPr>
      </w:pPr>
      <w:r>
        <w:rPr>
          <w:rFonts w:eastAsia="Arial Unicode MS" w:cs="Arial Unicode MS"/>
        </w:rPr>
        <w:t xml:space="preserve">(3) Claiming a lien against the land on which the violation occurred if LUPC or municipality is the prevailing party in the civil action. </w:t>
      </w:r>
    </w:p>
    <w:p w14:paraId="74DA05F7" w14:textId="77777777" w:rsidR="00A94A07" w:rsidRDefault="00A94A07" w:rsidP="00A94A07">
      <w:pPr>
        <w:pStyle w:val="Body"/>
        <w:ind w:left="180"/>
      </w:pPr>
    </w:p>
    <w:p w14:paraId="6B23D096" w14:textId="4BC30B8B" w:rsidR="00A94A07" w:rsidRPr="00EC4B83" w:rsidRDefault="00A94A07" w:rsidP="00A94A07">
      <w:pPr>
        <w:pStyle w:val="Body"/>
        <w:numPr>
          <w:ilvl w:val="0"/>
          <w:numId w:val="3"/>
        </w:numPr>
      </w:pPr>
      <w:r>
        <w:rPr>
          <w:rFonts w:eastAsia="Arial Unicode MS" w:cs="Arial Unicode MS"/>
        </w:rPr>
        <w:t>Before taking any</w:t>
      </w:r>
      <w:r w:rsidR="003011A3">
        <w:rPr>
          <w:rFonts w:eastAsia="Arial Unicode MS" w:cs="Arial Unicode MS"/>
        </w:rPr>
        <w:t xml:space="preserve"> </w:t>
      </w:r>
      <w:r>
        <w:rPr>
          <w:rFonts w:eastAsia="Arial Unicode MS" w:cs="Arial Unicode MS"/>
        </w:rPr>
        <w:t xml:space="preserve">action, LUPC or municipality must provide owner </w:t>
      </w:r>
      <w:r w:rsidR="00B92281">
        <w:rPr>
          <w:rFonts w:eastAsia="Arial Unicode MS" w:cs="Arial Unicode MS"/>
        </w:rPr>
        <w:t>or</w:t>
      </w:r>
      <w:r>
        <w:rPr>
          <w:rFonts w:eastAsia="Arial Unicode MS" w:cs="Arial Unicode MS"/>
        </w:rPr>
        <w:t xml:space="preserve"> occupant written notice of the violation and 10 days to correct the violation. </w:t>
      </w:r>
    </w:p>
    <w:p w14:paraId="5805EE12" w14:textId="77777777" w:rsidR="00A94A07" w:rsidRPr="00EC4B83" w:rsidRDefault="00A94A07" w:rsidP="00A94A07">
      <w:pPr>
        <w:pStyle w:val="Body"/>
        <w:ind w:left="180"/>
      </w:pPr>
    </w:p>
    <w:p w14:paraId="768B11CF" w14:textId="77777777" w:rsidR="00A94A07" w:rsidRDefault="00A94A07" w:rsidP="00A94A07">
      <w:pPr>
        <w:pStyle w:val="Body"/>
        <w:numPr>
          <w:ilvl w:val="0"/>
          <w:numId w:val="3"/>
        </w:numPr>
      </w:pPr>
      <w:r>
        <w:t>A suspension or revocation of a permit remains in effect during any appeal of the suspension or revocation to a municipal board of appeals.</w:t>
      </w:r>
    </w:p>
    <w:p w14:paraId="50373A45" w14:textId="77777777" w:rsidR="00A94A07" w:rsidRDefault="00A94A07" w:rsidP="00A94A07">
      <w:pPr>
        <w:pStyle w:val="Body"/>
        <w:ind w:left="180"/>
      </w:pPr>
    </w:p>
    <w:p w14:paraId="71C33D82" w14:textId="77777777" w:rsidR="00A94A07" w:rsidRDefault="00A94A07" w:rsidP="00A94A07">
      <w:pPr>
        <w:pStyle w:val="Body"/>
        <w:numPr>
          <w:ilvl w:val="0"/>
          <w:numId w:val="3"/>
        </w:numPr>
      </w:pPr>
      <w:r w:rsidRPr="00B85B80">
        <w:rPr>
          <w:rFonts w:eastAsia="Arial Unicode MS" w:cs="Arial Unicode MS"/>
        </w:rPr>
        <w:t>The bill also requires persons selling property to disclose any actual or alleged violations of shoreland zoning statutes, ordinances, rules or regulations.</w:t>
      </w:r>
    </w:p>
    <w:p w14:paraId="6A1B9943" w14:textId="77777777" w:rsidR="00A94A07" w:rsidRDefault="00A94A07" w:rsidP="00A94A07">
      <w:pPr>
        <w:pStyle w:val="Body"/>
      </w:pPr>
    </w:p>
    <w:p w14:paraId="3FD3950D" w14:textId="77777777" w:rsidR="00A94A07" w:rsidRDefault="00A94A07" w:rsidP="00A94A07">
      <w:pPr>
        <w:pStyle w:val="Body"/>
        <w:rPr>
          <w:b/>
          <w:bCs/>
        </w:rPr>
      </w:pPr>
      <w:r>
        <w:rPr>
          <w:b/>
          <w:bCs/>
        </w:rPr>
        <w:t xml:space="preserve">LD 2059 - An Act Regarding Processing of Applications Under NRPA to Ensure Consistency with Shoreland Zoning Laws </w:t>
      </w:r>
      <w:r>
        <w:t>(Signed by the Governor February 15, 2024)</w:t>
      </w:r>
    </w:p>
    <w:p w14:paraId="3309FB46" w14:textId="77777777" w:rsidR="00A94A07" w:rsidRDefault="00A94A07" w:rsidP="00A94A07">
      <w:pPr>
        <w:pStyle w:val="Body"/>
      </w:pPr>
    </w:p>
    <w:p w14:paraId="20F98752" w14:textId="4AFC486A" w:rsidR="00A94A07" w:rsidRPr="001C5035" w:rsidRDefault="00A94A07" w:rsidP="00A94A07">
      <w:pPr>
        <w:pStyle w:val="Body"/>
        <w:numPr>
          <w:ilvl w:val="0"/>
          <w:numId w:val="3"/>
        </w:numPr>
      </w:pPr>
      <w:r>
        <w:rPr>
          <w:rFonts w:eastAsia="Arial Unicode MS" w:cs="Arial Unicode MS"/>
        </w:rPr>
        <w:t xml:space="preserve">Authorizes the Commissioner of DEP to return as incomplete a NRPA application if the Commissioner finds there is a reasonable likelihood that the proposed activity would be inconsistent with the minimum </w:t>
      </w:r>
      <w:r w:rsidR="00AB67F2">
        <w:rPr>
          <w:rFonts w:eastAsia="Arial Unicode MS" w:cs="Arial Unicode MS"/>
        </w:rPr>
        <w:t xml:space="preserve">municipal shoreland zoning </w:t>
      </w:r>
      <w:r>
        <w:rPr>
          <w:rFonts w:eastAsia="Arial Unicode MS" w:cs="Arial Unicode MS"/>
        </w:rPr>
        <w:t xml:space="preserve">guidelines. </w:t>
      </w:r>
    </w:p>
    <w:p w14:paraId="1FC914EE" w14:textId="77777777" w:rsidR="00A94A07" w:rsidRPr="001C5035" w:rsidRDefault="00A94A07" w:rsidP="00A94A07">
      <w:pPr>
        <w:pStyle w:val="Body"/>
        <w:ind w:left="180"/>
      </w:pPr>
    </w:p>
    <w:p w14:paraId="0034B486" w14:textId="4083B987" w:rsidR="00A94A07" w:rsidRDefault="00A94A07" w:rsidP="00A94A07">
      <w:pPr>
        <w:pStyle w:val="Body"/>
        <w:numPr>
          <w:ilvl w:val="0"/>
          <w:numId w:val="3"/>
        </w:numPr>
      </w:pPr>
      <w:r>
        <w:t xml:space="preserve">If Commissioner returns an application, Commissioner may require any resubmitted application </w:t>
      </w:r>
      <w:r w:rsidR="00D95B98">
        <w:t xml:space="preserve">to </w:t>
      </w:r>
      <w:r>
        <w:t>be accompanied by a municipal approval demonstrating compliance with the minimum guidelines.</w:t>
      </w:r>
    </w:p>
    <w:p w14:paraId="00FE25CA" w14:textId="77777777" w:rsidR="00A94A07" w:rsidRDefault="00A94A07" w:rsidP="00A94A07">
      <w:pPr>
        <w:pStyle w:val="Body"/>
      </w:pPr>
    </w:p>
    <w:p w14:paraId="30FC7733" w14:textId="77777777" w:rsidR="00A94A07" w:rsidRDefault="00A94A07" w:rsidP="00A94A07">
      <w:pPr>
        <w:pStyle w:val="Body"/>
      </w:pPr>
      <w:r>
        <w:rPr>
          <w:rFonts w:eastAsia="Arial Unicode MS" w:cs="Arial Unicode MS"/>
          <w:b/>
          <w:bCs/>
          <w:lang w:val="de-DE"/>
        </w:rPr>
        <w:t xml:space="preserve">LD 2058 </w:t>
      </w:r>
      <w:r>
        <w:rPr>
          <w:rFonts w:eastAsia="Arial Unicode MS" w:cs="Arial Unicode MS"/>
          <w:b/>
          <w:bCs/>
        </w:rPr>
        <w:t>- An Act Regarding Compliance with Environmental Permit and License Application Requirements</w:t>
      </w:r>
      <w:r>
        <w:rPr>
          <w:rFonts w:eastAsia="Arial Unicode MS" w:cs="Arial Unicode MS"/>
        </w:rPr>
        <w:t xml:space="preserve"> (Signed by the Governor February 29, 2024) </w:t>
      </w:r>
    </w:p>
    <w:p w14:paraId="6075A5F2" w14:textId="77777777" w:rsidR="00A94A07" w:rsidRDefault="00A94A07" w:rsidP="00A94A07">
      <w:pPr>
        <w:pStyle w:val="Body"/>
      </w:pPr>
    </w:p>
    <w:p w14:paraId="1C6C1FD7" w14:textId="77777777" w:rsidR="00A94A07" w:rsidRDefault="00A94A07" w:rsidP="00A94A07">
      <w:pPr>
        <w:pStyle w:val="Body"/>
        <w:numPr>
          <w:ilvl w:val="0"/>
          <w:numId w:val="3"/>
        </w:numPr>
      </w:pPr>
      <w:r>
        <w:rPr>
          <w:rFonts w:eastAsia="Arial Unicode MS" w:cs="Arial Unicode MS"/>
        </w:rPr>
        <w:t xml:space="preserve">Allows DEP to refuse to accept a permit or license application if it was submitted </w:t>
      </w:r>
      <w:r w:rsidRPr="00947626">
        <w:rPr>
          <w:rFonts w:eastAsia="Arial Unicode MS" w:cs="Arial Unicode MS"/>
          <w:i/>
          <w:iCs/>
          <w:u w:val="single"/>
        </w:rPr>
        <w:t>after</w:t>
      </w:r>
      <w:r>
        <w:rPr>
          <w:rFonts w:eastAsia="Arial Unicode MS" w:cs="Arial Unicode MS"/>
        </w:rPr>
        <w:t xml:space="preserve"> the activity requiring the permit or license has begun if the applicant knowingly violated a requirement to obtain a permit or license for the activity, or the applicant previously violated a requirement to obtain a permit or license within 5 years prior to submitting the application.</w:t>
      </w:r>
    </w:p>
    <w:p w14:paraId="7B0E364C" w14:textId="77777777" w:rsidR="00A94A07" w:rsidRDefault="00A94A07" w:rsidP="00A94A07">
      <w:pPr>
        <w:pStyle w:val="Body"/>
      </w:pPr>
    </w:p>
    <w:p w14:paraId="6B45EE7A" w14:textId="77777777" w:rsidR="00A94A07" w:rsidRDefault="00A94A07" w:rsidP="00A94A07">
      <w:pPr>
        <w:pStyle w:val="Body"/>
        <w:rPr>
          <w:b/>
          <w:bCs/>
        </w:rPr>
      </w:pPr>
      <w:r>
        <w:rPr>
          <w:rFonts w:eastAsia="Arial Unicode MS" w:cs="Arial Unicode MS"/>
          <w:b/>
          <w:bCs/>
          <w:lang w:val="de-DE"/>
        </w:rPr>
        <w:lastRenderedPageBreak/>
        <w:t xml:space="preserve">LD 2030 </w:t>
      </w:r>
      <w:r>
        <w:rPr>
          <w:rFonts w:eastAsia="Arial Unicode MS" w:cs="Arial Unicode MS"/>
          <w:b/>
          <w:bCs/>
        </w:rPr>
        <w:t xml:space="preserve">- An Act to Exempt Certain Emergency Activities and Structure Elevation Increases in Flood Zones From Permit Requirements Under the Natural Resources Protection Act </w:t>
      </w:r>
      <w:r>
        <w:rPr>
          <w:rFonts w:eastAsia="Arial Unicode MS" w:cs="Arial Unicode MS"/>
        </w:rPr>
        <w:t xml:space="preserve">(Emergency Legislation - Signed by Governor March 12, 2024) </w:t>
      </w:r>
    </w:p>
    <w:p w14:paraId="74DABBAC" w14:textId="77777777" w:rsidR="00A94A07" w:rsidRDefault="00A94A07" w:rsidP="00A94A07">
      <w:pPr>
        <w:pStyle w:val="Body"/>
        <w:rPr>
          <w:b/>
          <w:bCs/>
        </w:rPr>
      </w:pPr>
    </w:p>
    <w:p w14:paraId="065EB158" w14:textId="77777777" w:rsidR="00A94A07" w:rsidRDefault="00A94A07" w:rsidP="00A94A07">
      <w:pPr>
        <w:pStyle w:val="Body"/>
        <w:numPr>
          <w:ilvl w:val="0"/>
          <w:numId w:val="3"/>
        </w:numPr>
      </w:pPr>
      <w:r>
        <w:rPr>
          <w:rFonts w:eastAsia="Arial Unicode MS" w:cs="Arial Unicode MS"/>
        </w:rPr>
        <w:t>Enacted on emergency basis as a result of multiple storms causing widespread flooding and damage to public and private property and the need to respond/repair quickly.</w:t>
      </w:r>
    </w:p>
    <w:p w14:paraId="79C63A2F" w14:textId="77777777" w:rsidR="00A94A07" w:rsidRDefault="00A94A07" w:rsidP="00A94A07">
      <w:pPr>
        <w:pStyle w:val="Body"/>
        <w:ind w:left="180"/>
      </w:pPr>
    </w:p>
    <w:p w14:paraId="44B30646" w14:textId="77777777" w:rsidR="00A94A07" w:rsidRPr="00B94F5B" w:rsidRDefault="00A94A07" w:rsidP="00A94A07">
      <w:pPr>
        <w:pStyle w:val="Body"/>
        <w:numPr>
          <w:ilvl w:val="0"/>
          <w:numId w:val="3"/>
        </w:numPr>
      </w:pPr>
      <w:r>
        <w:t>E</w:t>
      </w:r>
      <w:r>
        <w:rPr>
          <w:rFonts w:eastAsia="Arial Unicode MS" w:cs="Arial Unicode MS"/>
        </w:rPr>
        <w:t xml:space="preserve">xempts </w:t>
      </w:r>
      <w:r>
        <w:rPr>
          <w:rFonts w:eastAsia="Arial Unicode MS" w:cs="Arial Unicode MS"/>
          <w:lang w:val="fr-FR"/>
        </w:rPr>
        <w:t xml:space="preserve">the </w:t>
      </w:r>
      <w:proofErr w:type="spellStart"/>
      <w:r>
        <w:rPr>
          <w:rFonts w:eastAsia="Arial Unicode MS" w:cs="Arial Unicode MS"/>
          <w:lang w:val="fr-FR"/>
        </w:rPr>
        <w:t>following</w:t>
      </w:r>
      <w:proofErr w:type="spellEnd"/>
      <w:r>
        <w:rPr>
          <w:rFonts w:eastAsia="Arial Unicode MS" w:cs="Arial Unicode MS"/>
          <w:lang w:val="fr-FR"/>
        </w:rPr>
        <w:t xml:space="preserve"> </w:t>
      </w:r>
      <w:r>
        <w:rPr>
          <w:rFonts w:eastAsia="Arial Unicode MS" w:cs="Arial Unicode MS"/>
        </w:rPr>
        <w:t>activities from permit requirements under NRPA:</w:t>
      </w:r>
    </w:p>
    <w:p w14:paraId="2304862C" w14:textId="77777777" w:rsidR="00A94A07" w:rsidRDefault="00A94A07" w:rsidP="00A94A07">
      <w:pPr>
        <w:pStyle w:val="Body"/>
      </w:pPr>
    </w:p>
    <w:p w14:paraId="7F9BF82F" w14:textId="51DE8064" w:rsidR="00A94A07" w:rsidRDefault="00A94A07" w:rsidP="00A94A07">
      <w:pPr>
        <w:pStyle w:val="Body"/>
        <w:numPr>
          <w:ilvl w:val="2"/>
          <w:numId w:val="3"/>
        </w:numPr>
      </w:pPr>
      <w:r w:rsidRPr="00576EE9">
        <w:rPr>
          <w:rFonts w:eastAsia="Arial Unicode MS" w:cs="Arial Unicode MS"/>
          <w:u w:val="single"/>
        </w:rPr>
        <w:t>Emergency activities</w:t>
      </w:r>
      <w:r>
        <w:rPr>
          <w:rFonts w:eastAsia="Arial Unicode MS" w:cs="Arial Unicode MS"/>
        </w:rPr>
        <w:t xml:space="preserve"> in, on, over, or adjacent to a river, stream or brook necessary to alleviate flood events, provided that the government </w:t>
      </w:r>
      <w:r w:rsidR="00C00DEA">
        <w:rPr>
          <w:rFonts w:eastAsia="Arial Unicode MS" w:cs="Arial Unicode MS"/>
        </w:rPr>
        <w:t xml:space="preserve">authority </w:t>
      </w:r>
      <w:r>
        <w:rPr>
          <w:rFonts w:eastAsia="Arial Unicode MS" w:cs="Arial Unicode MS"/>
        </w:rPr>
        <w:t xml:space="preserve">overseeing such activity notifies DEP prior to conducting it and maintains communication with DEP </w:t>
      </w:r>
      <w:r w:rsidR="00C00DEA">
        <w:rPr>
          <w:rFonts w:eastAsia="Arial Unicode MS" w:cs="Arial Unicode MS"/>
        </w:rPr>
        <w:t xml:space="preserve">(and </w:t>
      </w:r>
      <w:r>
        <w:rPr>
          <w:rFonts w:eastAsia="Arial Unicode MS" w:cs="Arial Unicode MS"/>
        </w:rPr>
        <w:t xml:space="preserve">the resource </w:t>
      </w:r>
      <w:r w:rsidR="00C00DEA">
        <w:rPr>
          <w:rFonts w:eastAsia="Arial Unicode MS" w:cs="Arial Unicode MS"/>
        </w:rPr>
        <w:t>must be</w:t>
      </w:r>
      <w:r>
        <w:rPr>
          <w:rFonts w:eastAsia="Arial Unicode MS" w:cs="Arial Unicode MS"/>
        </w:rPr>
        <w:t xml:space="preserve"> restored following the flood event to prior existing condition to the greatest extent practicable, as determined by DEP);</w:t>
      </w:r>
    </w:p>
    <w:p w14:paraId="1D8D17BD" w14:textId="77777777" w:rsidR="00A94A07" w:rsidRDefault="00A94A07" w:rsidP="00A94A07">
      <w:pPr>
        <w:pStyle w:val="Body"/>
      </w:pPr>
    </w:p>
    <w:p w14:paraId="48D48075" w14:textId="777402C1" w:rsidR="00A94A07" w:rsidRPr="007667D9" w:rsidRDefault="00A94A07" w:rsidP="00A94A07">
      <w:pPr>
        <w:pStyle w:val="Body"/>
        <w:numPr>
          <w:ilvl w:val="2"/>
          <w:numId w:val="3"/>
        </w:numPr>
      </w:pPr>
      <w:r w:rsidRPr="00576EE9">
        <w:rPr>
          <w:rFonts w:eastAsia="Arial Unicode MS" w:cs="Arial Unicode MS"/>
          <w:u w:val="single"/>
        </w:rPr>
        <w:t>Increase in the height</w:t>
      </w:r>
      <w:r>
        <w:rPr>
          <w:rFonts w:eastAsia="Arial Unicode MS" w:cs="Arial Unicode MS"/>
        </w:rPr>
        <w:t xml:space="preserve"> of a pier, wharf or dock located in, on or over a coastal wetland where </w:t>
      </w:r>
      <w:r w:rsidR="00005DBA">
        <w:rPr>
          <w:rFonts w:eastAsia="Arial Unicode MS" w:cs="Arial Unicode MS"/>
        </w:rPr>
        <w:t>its</w:t>
      </w:r>
      <w:r>
        <w:rPr>
          <w:rFonts w:eastAsia="Arial Unicode MS" w:cs="Arial Unicode MS"/>
        </w:rPr>
        <w:t xml:space="preserve"> </w:t>
      </w:r>
      <w:r w:rsidR="00005DBA">
        <w:rPr>
          <w:rFonts w:eastAsia="Arial Unicode MS" w:cs="Arial Unicode MS"/>
        </w:rPr>
        <w:t xml:space="preserve">height </w:t>
      </w:r>
      <w:r>
        <w:rPr>
          <w:rFonts w:eastAsia="Arial Unicode MS" w:cs="Arial Unicode MS"/>
        </w:rPr>
        <w:t>is increased by no more than the amount necessary for the bottom of the lowest horizontal structural component to be 4 feet above base flood elevation. (The deck of the pier, wharf or dock may be extended into the upland only as necessary to accommodate the heigh increase allowed</w:t>
      </w:r>
      <w:r w:rsidR="005E7D22">
        <w:rPr>
          <w:rFonts w:eastAsia="Arial Unicode MS" w:cs="Arial Unicode MS"/>
        </w:rPr>
        <w:t>,</w:t>
      </w:r>
      <w:r>
        <w:rPr>
          <w:rFonts w:eastAsia="Arial Unicode MS" w:cs="Arial Unicode MS"/>
        </w:rPr>
        <w:t xml:space="preserve"> and</w:t>
      </w:r>
      <w:r w:rsidR="005E7D22">
        <w:rPr>
          <w:rFonts w:eastAsia="Arial Unicode MS" w:cs="Arial Unicode MS"/>
        </w:rPr>
        <w:t>, the</w:t>
      </w:r>
      <w:r>
        <w:rPr>
          <w:rFonts w:eastAsia="Arial Unicode MS" w:cs="Arial Unicode MS"/>
        </w:rPr>
        <w:t xml:space="preserve"> reconstructed structure must meet PBR standards.)</w:t>
      </w:r>
    </w:p>
    <w:p w14:paraId="1B50D755" w14:textId="77777777" w:rsidR="00A94A07" w:rsidRDefault="00A94A07" w:rsidP="00A94A07">
      <w:pPr>
        <w:pStyle w:val="ListParagraph"/>
      </w:pPr>
    </w:p>
    <w:p w14:paraId="07618EA8" w14:textId="77777777" w:rsidR="00A94A07" w:rsidRDefault="00A94A07" w:rsidP="00A94A07">
      <w:pPr>
        <w:pStyle w:val="Body"/>
        <w:numPr>
          <w:ilvl w:val="2"/>
          <w:numId w:val="3"/>
        </w:numPr>
      </w:pPr>
      <w:r w:rsidRPr="00576EE9">
        <w:rPr>
          <w:u w:val="single"/>
        </w:rPr>
        <w:t>Elevate building foundation</w:t>
      </w:r>
      <w:r>
        <w:t xml:space="preserve"> if:</w:t>
      </w:r>
    </w:p>
    <w:p w14:paraId="44AA6E0A" w14:textId="77777777" w:rsidR="00A94A07" w:rsidRDefault="00A94A07" w:rsidP="00A94A07">
      <w:pPr>
        <w:pStyle w:val="ListParagraph"/>
      </w:pPr>
    </w:p>
    <w:p w14:paraId="594C5983" w14:textId="426CE3B9" w:rsidR="00A94A07" w:rsidRDefault="00A94A07" w:rsidP="00A94A07">
      <w:pPr>
        <w:pStyle w:val="Body"/>
        <w:numPr>
          <w:ilvl w:val="3"/>
          <w:numId w:val="3"/>
        </w:numPr>
      </w:pPr>
      <w:r>
        <w:t>(1) It is: (a) located on a pier dock or wharf in, on, or over a coastal wetland; (b) adjacent to a protected natural resource; or (c) in a coastal sand dune;</w:t>
      </w:r>
    </w:p>
    <w:p w14:paraId="6112D54C" w14:textId="77777777" w:rsidR="00A94A07" w:rsidRDefault="00A94A07" w:rsidP="00A94A07">
      <w:pPr>
        <w:pStyle w:val="Body"/>
        <w:ind w:left="720"/>
      </w:pPr>
    </w:p>
    <w:p w14:paraId="2A8DB53A" w14:textId="77777777" w:rsidR="00A94A07" w:rsidRDefault="00A94A07" w:rsidP="00A94A07">
      <w:pPr>
        <w:pStyle w:val="Body"/>
        <w:numPr>
          <w:ilvl w:val="3"/>
          <w:numId w:val="3"/>
        </w:numPr>
      </w:pPr>
      <w:r>
        <w:t>(2) Erosion control measures are taken to prevent sedimentation;</w:t>
      </w:r>
    </w:p>
    <w:p w14:paraId="196E4C23" w14:textId="77777777" w:rsidR="00A94A07" w:rsidRDefault="00A94A07" w:rsidP="00A94A07">
      <w:pPr>
        <w:pStyle w:val="ListParagraph"/>
      </w:pPr>
    </w:p>
    <w:p w14:paraId="376B9AEE" w14:textId="77777777" w:rsidR="00A94A07" w:rsidRDefault="00A94A07" w:rsidP="00A94A07">
      <w:pPr>
        <w:pStyle w:val="Body"/>
        <w:numPr>
          <w:ilvl w:val="3"/>
          <w:numId w:val="3"/>
        </w:numPr>
      </w:pPr>
      <w:r>
        <w:t>(3) The amount of fill is limited to minimum amount necessary to maintain integrity of building;</w:t>
      </w:r>
    </w:p>
    <w:p w14:paraId="3623697D" w14:textId="77777777" w:rsidR="00A94A07" w:rsidRDefault="00A94A07" w:rsidP="00A94A07">
      <w:pPr>
        <w:pStyle w:val="ListParagraph"/>
      </w:pPr>
    </w:p>
    <w:p w14:paraId="0792AFC3" w14:textId="73D6F9AB" w:rsidR="00A94A07" w:rsidRDefault="00A94A07" w:rsidP="00A94A07">
      <w:pPr>
        <w:pStyle w:val="Body"/>
        <w:numPr>
          <w:ilvl w:val="3"/>
          <w:numId w:val="3"/>
        </w:numPr>
      </w:pPr>
      <w:r>
        <w:t xml:space="preserve">(4) The building remains entirely in the </w:t>
      </w:r>
      <w:r w:rsidR="00482AF8">
        <w:t xml:space="preserve">existing </w:t>
      </w:r>
      <w:r>
        <w:t xml:space="preserve">footprint; </w:t>
      </w:r>
    </w:p>
    <w:p w14:paraId="216D8D08" w14:textId="77777777" w:rsidR="00A94A07" w:rsidRDefault="00A94A07" w:rsidP="00A94A07">
      <w:pPr>
        <w:pStyle w:val="ListParagraph"/>
      </w:pPr>
    </w:p>
    <w:p w14:paraId="02C8206F" w14:textId="77777777" w:rsidR="00A94A07" w:rsidRDefault="00A94A07" w:rsidP="00A94A07">
      <w:pPr>
        <w:pStyle w:val="Body"/>
        <w:numPr>
          <w:ilvl w:val="3"/>
          <w:numId w:val="3"/>
        </w:numPr>
      </w:pPr>
      <w:r>
        <w:t>(5) The post-elevation building height complies with municipal ordinance; and</w:t>
      </w:r>
    </w:p>
    <w:p w14:paraId="52910276" w14:textId="77777777" w:rsidR="00A94A07" w:rsidRDefault="00A94A07" w:rsidP="00A94A07">
      <w:pPr>
        <w:pStyle w:val="ListParagraph"/>
      </w:pPr>
    </w:p>
    <w:p w14:paraId="2018554B" w14:textId="77777777" w:rsidR="00A94A07" w:rsidRDefault="00A94A07" w:rsidP="00A94A07">
      <w:pPr>
        <w:pStyle w:val="Body"/>
        <w:numPr>
          <w:ilvl w:val="3"/>
          <w:numId w:val="3"/>
        </w:numPr>
      </w:pPr>
      <w:r>
        <w:t>(6) If in a coastal dune, the foundation after being elevated allows for free movement of water, wind and sand and building does not exceed 35 feet after elevation</w:t>
      </w:r>
    </w:p>
    <w:p w14:paraId="608CE25B" w14:textId="77777777" w:rsidR="00A94A07" w:rsidRDefault="00A94A07" w:rsidP="00A94A07">
      <w:pPr>
        <w:pStyle w:val="ListParagraph"/>
      </w:pPr>
    </w:p>
    <w:p w14:paraId="17D49B2C" w14:textId="77777777" w:rsidR="00A94A07" w:rsidRDefault="00A94A07" w:rsidP="00A94A07">
      <w:pPr>
        <w:pStyle w:val="Body"/>
        <w:numPr>
          <w:ilvl w:val="4"/>
          <w:numId w:val="3"/>
        </w:numPr>
      </w:pPr>
      <w:r>
        <w:t>Such elevation may include reasonable access (i.e., steps or ramps)</w:t>
      </w:r>
    </w:p>
    <w:p w14:paraId="52519FDB" w14:textId="77777777" w:rsidR="00A94A07" w:rsidRDefault="00A94A07" w:rsidP="00A94A07">
      <w:pPr>
        <w:pStyle w:val="ListParagraph"/>
      </w:pPr>
    </w:p>
    <w:p w14:paraId="206E693B" w14:textId="77777777" w:rsidR="00A94A07" w:rsidRPr="00801272" w:rsidRDefault="00A94A07" w:rsidP="00A94A07">
      <w:pPr>
        <w:pStyle w:val="Body"/>
        <w:numPr>
          <w:ilvl w:val="2"/>
          <w:numId w:val="3"/>
        </w:numPr>
      </w:pPr>
      <w:r w:rsidRPr="00576EE9">
        <w:rPr>
          <w:u w:val="single"/>
        </w:rPr>
        <w:t>Repair</w:t>
      </w:r>
      <w:r>
        <w:t xml:space="preserve"> a pier, wharf, or dock in, or over a coastal wetland if: (1) erosion control measures are taken to prevent sedimentation; (2) there is no additional intrusion into the wetland; and (3) fill is not placed in or adjacent to the wetland; and (4) the dimensions of the repaired structure do not exceed the dimensions of the structure as it existed 24 months prior to repair except that the height may be increased by no more than the amount necessary for the bottom</w:t>
      </w:r>
      <w:r w:rsidRPr="00F84002">
        <w:rPr>
          <w:rFonts w:eastAsia="Arial Unicode MS" w:cs="Arial Unicode MS"/>
        </w:rPr>
        <w:t xml:space="preserve"> </w:t>
      </w:r>
      <w:r>
        <w:rPr>
          <w:rFonts w:eastAsia="Arial Unicode MS" w:cs="Arial Unicode MS"/>
        </w:rPr>
        <w:t xml:space="preserve">of the lowest horizontal structural component of the deck to be 4 feet above base flood elevation. </w:t>
      </w:r>
    </w:p>
    <w:p w14:paraId="46C7B9A6" w14:textId="77777777" w:rsidR="00A94A07" w:rsidRDefault="00A94A07" w:rsidP="00A94A07">
      <w:pPr>
        <w:pStyle w:val="ListParagraph"/>
      </w:pPr>
    </w:p>
    <w:p w14:paraId="7729FE80" w14:textId="0378E3A9" w:rsidR="00A94A07" w:rsidRDefault="00A94A07" w:rsidP="00A94A07">
      <w:pPr>
        <w:pStyle w:val="Body"/>
        <w:numPr>
          <w:ilvl w:val="4"/>
          <w:numId w:val="3"/>
        </w:numPr>
      </w:pPr>
      <w:r>
        <w:lastRenderedPageBreak/>
        <w:t>NOTE:  This repair provision does not apply if the repair involves more than 50% of the structure unless the municipality requires a permit for the activity</w:t>
      </w:r>
      <w:r w:rsidR="000C740F">
        <w:t>, which has been granted</w:t>
      </w:r>
      <w:r>
        <w:t>.</w:t>
      </w:r>
    </w:p>
    <w:p w14:paraId="2115759B" w14:textId="77777777" w:rsidR="00A94A07" w:rsidRDefault="00A94A07" w:rsidP="00A94A07">
      <w:pPr>
        <w:pStyle w:val="Body"/>
      </w:pPr>
    </w:p>
    <w:p w14:paraId="4F4D6D96" w14:textId="77777777" w:rsidR="00A94A07" w:rsidRPr="00AE4C22" w:rsidRDefault="00A94A07" w:rsidP="00A94A07">
      <w:pPr>
        <w:pStyle w:val="Body"/>
        <w:numPr>
          <w:ilvl w:val="0"/>
          <w:numId w:val="3"/>
        </w:numPr>
      </w:pPr>
      <w:r w:rsidRPr="00331096">
        <w:rPr>
          <w:rFonts w:eastAsia="Arial Unicode MS" w:cs="Arial Unicode MS"/>
        </w:rPr>
        <w:t xml:space="preserve">Authorizes the DEP through NPRA permit by rule process to </w:t>
      </w:r>
      <w:r w:rsidRPr="003B27EB">
        <w:rPr>
          <w:rFonts w:eastAsia="Arial Unicode MS" w:cs="Arial Unicode MS"/>
        </w:rPr>
        <w:t>reconstruct or replace</w:t>
      </w:r>
      <w:r w:rsidRPr="00331096">
        <w:rPr>
          <w:rFonts w:eastAsia="Arial Unicode MS" w:cs="Arial Unicode MS"/>
        </w:rPr>
        <w:t xml:space="preserve"> a pier, wharf or dock in, on or over a coastal sand dune system</w:t>
      </w:r>
      <w:r>
        <w:rPr>
          <w:rFonts w:eastAsia="Arial Unicode MS" w:cs="Arial Unicode MS"/>
        </w:rPr>
        <w:t xml:space="preserve"> if</w:t>
      </w:r>
      <w:r w:rsidRPr="00331096">
        <w:rPr>
          <w:rFonts w:eastAsia="Arial Unicode MS" w:cs="Arial Unicode MS"/>
        </w:rPr>
        <w:t xml:space="preserve"> it was in existence on January 1, 2024 and the reconstructed or replaced structure is built on pilings, posts or similar supports that allow for the free movement of water, wind and sand under the deck, and it otherwise meets PBR standards. </w:t>
      </w:r>
    </w:p>
    <w:p w14:paraId="6871E8C2" w14:textId="77777777" w:rsidR="00A94A07" w:rsidRDefault="00A94A07" w:rsidP="00A94A07">
      <w:pPr>
        <w:pStyle w:val="Body"/>
        <w:rPr>
          <w:b/>
          <w:bCs/>
        </w:rPr>
      </w:pPr>
    </w:p>
    <w:p w14:paraId="74FB4F70" w14:textId="77777777" w:rsidR="00A94A07" w:rsidRPr="005F2730" w:rsidRDefault="00A94A07" w:rsidP="00A94A07">
      <w:pPr>
        <w:pStyle w:val="Body"/>
        <w:rPr>
          <w:b/>
          <w:bCs/>
          <w:u w:val="single"/>
        </w:rPr>
      </w:pPr>
      <w:r>
        <w:rPr>
          <w:b/>
          <w:bCs/>
          <w:u w:val="single"/>
        </w:rPr>
        <w:t>SMARTH GROWTH</w:t>
      </w:r>
    </w:p>
    <w:p w14:paraId="68236A48" w14:textId="77777777" w:rsidR="00A94A07" w:rsidRDefault="00A94A07" w:rsidP="00A94A07">
      <w:pPr>
        <w:pStyle w:val="Body"/>
      </w:pPr>
    </w:p>
    <w:p w14:paraId="31B129E5" w14:textId="2E8930ED" w:rsidR="00A94A07" w:rsidRDefault="00A94A07" w:rsidP="00A94A07">
      <w:pPr>
        <w:pStyle w:val="Body"/>
      </w:pPr>
      <w:r>
        <w:rPr>
          <w:rFonts w:eastAsia="Arial Unicode MS" w:cs="Arial Unicode MS"/>
          <w:b/>
          <w:bCs/>
          <w:lang w:val="de-DE"/>
        </w:rPr>
        <w:t xml:space="preserve">LD 1673 </w:t>
      </w:r>
      <w:r>
        <w:rPr>
          <w:rFonts w:eastAsia="Arial Unicode MS" w:cs="Arial Unicode MS"/>
          <w:b/>
          <w:bCs/>
        </w:rPr>
        <w:t>- Resolve, Establishing a Working Group to Coordinate Collaboration Among State Agencies for the Purpose of Promoting Smart Growth and Development in High-</w:t>
      </w:r>
      <w:r w:rsidR="00E27FF8">
        <w:rPr>
          <w:rFonts w:eastAsia="Arial Unicode MS" w:cs="Arial Unicode MS"/>
          <w:b/>
          <w:bCs/>
        </w:rPr>
        <w:t>U</w:t>
      </w:r>
      <w:r>
        <w:rPr>
          <w:rFonts w:eastAsia="Arial Unicode MS" w:cs="Arial Unicode MS"/>
          <w:b/>
          <w:bCs/>
        </w:rPr>
        <w:t xml:space="preserve">se Corridors </w:t>
      </w:r>
      <w:r>
        <w:rPr>
          <w:rFonts w:eastAsia="Arial Unicode MS" w:cs="Arial Unicode MS"/>
        </w:rPr>
        <w:t>(Became law without Governor’s signature March 26, 2024)</w:t>
      </w:r>
    </w:p>
    <w:p w14:paraId="74A0F295" w14:textId="77777777" w:rsidR="00A94A07" w:rsidRDefault="00A94A07" w:rsidP="00A94A07">
      <w:pPr>
        <w:pStyle w:val="Body"/>
      </w:pPr>
    </w:p>
    <w:p w14:paraId="5D872767" w14:textId="7D31D771" w:rsidR="00A94A07" w:rsidRDefault="00A94A07" w:rsidP="00A94A07">
      <w:pPr>
        <w:pStyle w:val="Body"/>
        <w:numPr>
          <w:ilvl w:val="0"/>
          <w:numId w:val="3"/>
        </w:numPr>
      </w:pPr>
      <w:r>
        <w:rPr>
          <w:rFonts w:eastAsia="Arial Unicode MS" w:cs="Arial Unicode MS"/>
        </w:rPr>
        <w:t>Resolve directs the Director of the Office of Policy Innovation and the Future (GOPIF) to convene a working group consisting of the commissioners from</w:t>
      </w:r>
      <w:r w:rsidR="003011A3">
        <w:rPr>
          <w:rFonts w:eastAsia="Arial Unicode MS" w:cs="Arial Unicode MS"/>
        </w:rPr>
        <w:t xml:space="preserve"> various state agencies, including</w:t>
      </w:r>
      <w:r>
        <w:rPr>
          <w:rFonts w:eastAsia="Arial Unicode MS" w:cs="Arial Unicode MS"/>
        </w:rPr>
        <w:t xml:space="preserve"> D</w:t>
      </w:r>
      <w:r w:rsidR="003011A3">
        <w:rPr>
          <w:rFonts w:eastAsia="Arial Unicode MS" w:cs="Arial Unicode MS"/>
        </w:rPr>
        <w:t>OT, DEP,DECD</w:t>
      </w:r>
      <w:r>
        <w:rPr>
          <w:rFonts w:eastAsia="Arial Unicode MS" w:cs="Arial Unicode MS"/>
        </w:rPr>
        <w:t xml:space="preserve">, </w:t>
      </w:r>
      <w:r w:rsidR="004C57D1">
        <w:rPr>
          <w:rFonts w:eastAsia="Arial Unicode MS" w:cs="Arial Unicode MS"/>
        </w:rPr>
        <w:t xml:space="preserve">the Department of </w:t>
      </w:r>
      <w:r>
        <w:rPr>
          <w:rFonts w:eastAsia="Arial Unicode MS" w:cs="Arial Unicode MS"/>
        </w:rPr>
        <w:t xml:space="preserve">Agriculture, and Conservation and Forestry, and </w:t>
      </w:r>
      <w:r w:rsidR="003011A3">
        <w:rPr>
          <w:rFonts w:eastAsia="Arial Unicode MS" w:cs="Arial Unicode MS"/>
        </w:rPr>
        <w:t>MSHA</w:t>
      </w:r>
      <w:r>
        <w:rPr>
          <w:rFonts w:eastAsia="Arial Unicode MS" w:cs="Arial Unicode MS"/>
        </w:rPr>
        <w:t xml:space="preserve"> to design a plan for agency coordination to maximize state resources and promote smart growth, walkable neighborhoods, mixed-use development and mixed-income housing in high-use corridors near higher-density downtowns, village centers or crossroads through infilling and redevelopment of underutilized lands. </w:t>
      </w:r>
    </w:p>
    <w:p w14:paraId="24FF7C34" w14:textId="77777777" w:rsidR="00A94A07" w:rsidRDefault="00A94A07" w:rsidP="00A94A07">
      <w:pPr>
        <w:pStyle w:val="Body"/>
      </w:pPr>
    </w:p>
    <w:p w14:paraId="784C8BF0" w14:textId="77777777" w:rsidR="00A94A07" w:rsidRDefault="00A94A07" w:rsidP="00A94A07">
      <w:pPr>
        <w:pStyle w:val="Body"/>
        <w:numPr>
          <w:ilvl w:val="0"/>
          <w:numId w:val="3"/>
        </w:numPr>
      </w:pPr>
      <w:r>
        <w:rPr>
          <w:rFonts w:eastAsia="Arial Unicode MS" w:cs="Arial Unicode MS"/>
        </w:rPr>
        <w:t xml:space="preserve">Working group is also required to propose a plan for technical assistance grants to municipalities for the development of ordinances and zoning regulations governing high-use corridors including model transit-oriented development zoning ordinances. </w:t>
      </w:r>
    </w:p>
    <w:p w14:paraId="2BA1671B" w14:textId="77777777" w:rsidR="00A94A07" w:rsidRDefault="00A94A07" w:rsidP="00A94A07">
      <w:pPr>
        <w:pStyle w:val="Body"/>
      </w:pPr>
    </w:p>
    <w:p w14:paraId="69FD4675" w14:textId="21C1DA54" w:rsidR="00A94A07" w:rsidRDefault="00A94A07" w:rsidP="00A94A07">
      <w:pPr>
        <w:pStyle w:val="Body"/>
        <w:numPr>
          <w:ilvl w:val="0"/>
          <w:numId w:val="3"/>
        </w:numPr>
      </w:pPr>
      <w:r>
        <w:rPr>
          <w:rFonts w:eastAsia="Arial Unicode MS" w:cs="Arial Unicode MS"/>
        </w:rPr>
        <w:t>Directs GOPIF to submit a report by January 15, 2025 with the group</w:t>
      </w:r>
      <w:r>
        <w:rPr>
          <w:rFonts w:eastAsia="Arial Unicode MS" w:cs="Arial Unicode MS"/>
          <w:rtl/>
        </w:rPr>
        <w:t>’</w:t>
      </w:r>
      <w:r>
        <w:rPr>
          <w:rFonts w:eastAsia="Arial Unicode MS" w:cs="Arial Unicode MS"/>
        </w:rPr>
        <w:t>s findings and recommendations to committees having jurisdiction over housing matters.</w:t>
      </w:r>
    </w:p>
    <w:p w14:paraId="3484D391" w14:textId="77777777" w:rsidR="00A94A07" w:rsidRDefault="00A94A07" w:rsidP="00A94A07">
      <w:pPr>
        <w:pStyle w:val="Body"/>
      </w:pPr>
    </w:p>
    <w:p w14:paraId="66B52C14" w14:textId="77777777" w:rsidR="00A94A07" w:rsidRPr="00BF6E94" w:rsidRDefault="00A94A07" w:rsidP="00A94A07">
      <w:pPr>
        <w:pStyle w:val="Body"/>
        <w:rPr>
          <w:b/>
          <w:bCs/>
          <w:u w:val="single"/>
        </w:rPr>
      </w:pPr>
      <w:r w:rsidRPr="00BF6E94">
        <w:rPr>
          <w:b/>
          <w:bCs/>
          <w:u w:val="single"/>
        </w:rPr>
        <w:t>HOUSING</w:t>
      </w:r>
    </w:p>
    <w:p w14:paraId="4F68E344" w14:textId="77777777" w:rsidR="00A94A07" w:rsidRDefault="00A94A07" w:rsidP="00A94A07">
      <w:pPr>
        <w:pStyle w:val="Body"/>
      </w:pPr>
    </w:p>
    <w:p w14:paraId="05E3860B" w14:textId="77777777" w:rsidR="00A94A07" w:rsidRDefault="00A94A07" w:rsidP="00A94A07">
      <w:pPr>
        <w:pStyle w:val="Body"/>
      </w:pPr>
      <w:r>
        <w:rPr>
          <w:rFonts w:eastAsia="Arial Unicode MS" w:cs="Arial Unicode MS"/>
          <w:b/>
          <w:bCs/>
          <w:lang w:val="de-DE"/>
        </w:rPr>
        <w:t xml:space="preserve">LD 492 </w:t>
      </w:r>
      <w:r>
        <w:rPr>
          <w:rFonts w:eastAsia="Arial Unicode MS" w:cs="Arial Unicode MS"/>
          <w:b/>
          <w:bCs/>
        </w:rPr>
        <w:t xml:space="preserve">- An Act to Repurpose Vacant Shopping Mall and Retail Space to Mixed-use Housing and Retail  </w:t>
      </w:r>
      <w:r>
        <w:rPr>
          <w:rFonts w:eastAsia="Arial Unicode MS" w:cs="Arial Unicode MS"/>
        </w:rPr>
        <w:t xml:space="preserve">(Became Law without Governor’s signature January 7, 2024) </w:t>
      </w:r>
    </w:p>
    <w:p w14:paraId="0499FB6A" w14:textId="77777777" w:rsidR="00A94A07" w:rsidRDefault="00A94A07" w:rsidP="00A94A07">
      <w:pPr>
        <w:pStyle w:val="Body"/>
      </w:pPr>
    </w:p>
    <w:p w14:paraId="224EB374" w14:textId="77777777" w:rsidR="00A94A07" w:rsidRDefault="00A94A07" w:rsidP="00A94A07">
      <w:pPr>
        <w:pStyle w:val="Body"/>
        <w:numPr>
          <w:ilvl w:val="0"/>
          <w:numId w:val="3"/>
        </w:numPr>
      </w:pPr>
      <w:r>
        <w:rPr>
          <w:rFonts w:eastAsia="Arial Unicode MS" w:cs="Arial Unicode MS"/>
        </w:rPr>
        <w:t>Enacts</w:t>
      </w:r>
      <w:r>
        <w:t xml:space="preserve"> 30-A M.R.S. </w:t>
      </w:r>
      <w:r w:rsidRPr="00A93DE6">
        <w:t>§</w:t>
      </w:r>
      <w:r>
        <w:t xml:space="preserve"> </w:t>
      </w:r>
      <w:r w:rsidRPr="00A93DE6">
        <w:t>4364-C</w:t>
      </w:r>
      <w:r>
        <w:t>(3), which</w:t>
      </w:r>
      <w:r w:rsidRPr="00A93DE6">
        <w:t xml:space="preserve"> </w:t>
      </w:r>
      <w:r>
        <w:rPr>
          <w:rFonts w:eastAsia="Arial Unicode MS" w:cs="Arial Unicode MS"/>
        </w:rPr>
        <w:t>provides, as necessary to meet statewide regional housing production goals, a municipality may adopt ordinances allowing the development of residential units in buildings on property zoned for commercial use including vacant or partially vacant retail space.</w:t>
      </w:r>
    </w:p>
    <w:p w14:paraId="4047277B" w14:textId="77777777" w:rsidR="00A94A07" w:rsidRDefault="00A94A07" w:rsidP="00A94A07">
      <w:pPr>
        <w:pStyle w:val="Body"/>
        <w:ind w:left="180"/>
      </w:pPr>
    </w:p>
    <w:p w14:paraId="04C27852" w14:textId="77777777" w:rsidR="00A94A07" w:rsidRDefault="00A94A07" w:rsidP="00A94A07">
      <w:pPr>
        <w:pStyle w:val="Body"/>
        <w:numPr>
          <w:ilvl w:val="0"/>
          <w:numId w:val="3"/>
        </w:numPr>
      </w:pPr>
      <w:r>
        <w:t xml:space="preserve">This provision provides that an ordinance establishing a limit on the number of residential units within a building in a location zoned for commercial use, whether previously adopted or adopted pursuant to this subsection, </w:t>
      </w:r>
      <w:r w:rsidRPr="00A93DE6">
        <w:rPr>
          <w:u w:val="single"/>
        </w:rPr>
        <w:t>must</w:t>
      </w:r>
      <w:r>
        <w:t xml:space="preserve"> be proportional to the space available for residential units.</w:t>
      </w:r>
    </w:p>
    <w:p w14:paraId="160BD449" w14:textId="77777777" w:rsidR="00EC695D" w:rsidRDefault="00EC695D" w:rsidP="00A94A07">
      <w:pPr>
        <w:pStyle w:val="ListParagraph"/>
      </w:pPr>
    </w:p>
    <w:p w14:paraId="025FA817" w14:textId="77777777" w:rsidR="00A94A07" w:rsidRDefault="00A94A07" w:rsidP="00A94A07">
      <w:pPr>
        <w:pStyle w:val="Body"/>
      </w:pPr>
      <w:r>
        <w:rPr>
          <w:rFonts w:eastAsia="Arial Unicode MS" w:cs="Arial Unicode MS"/>
          <w:b/>
          <w:bCs/>
          <w:lang w:val="de-DE"/>
        </w:rPr>
        <w:t xml:space="preserve">LD 1294 </w:t>
      </w:r>
      <w:r>
        <w:rPr>
          <w:rFonts w:eastAsia="Arial Unicode MS" w:cs="Arial Unicode MS"/>
          <w:b/>
          <w:bCs/>
        </w:rPr>
        <w:t xml:space="preserve">- An Act Regarding the Ordinances Governing Residential Units Located in Buildings in a Location Zoned for Commercial Use </w:t>
      </w:r>
      <w:r>
        <w:rPr>
          <w:rFonts w:eastAsia="Arial Unicode MS" w:cs="Arial Unicode MS"/>
        </w:rPr>
        <w:t>(Signed by Governor March 14, 2024)</w:t>
      </w:r>
    </w:p>
    <w:p w14:paraId="2AC03A32" w14:textId="77777777" w:rsidR="00A94A07" w:rsidRDefault="00A94A07" w:rsidP="00A94A07">
      <w:pPr>
        <w:pStyle w:val="Body"/>
      </w:pPr>
    </w:p>
    <w:p w14:paraId="2B8560B7" w14:textId="77777777" w:rsidR="00A94A07" w:rsidRDefault="00A94A07" w:rsidP="00A94A07">
      <w:pPr>
        <w:pStyle w:val="Body"/>
        <w:numPr>
          <w:ilvl w:val="0"/>
          <w:numId w:val="5"/>
        </w:numPr>
      </w:pPr>
      <w:r>
        <w:lastRenderedPageBreak/>
        <w:t xml:space="preserve">Revised the previously enacted 30-A M.R.S. </w:t>
      </w:r>
      <w:r w:rsidRPr="00A93DE6">
        <w:t>§</w:t>
      </w:r>
      <w:r>
        <w:t xml:space="preserve"> </w:t>
      </w:r>
      <w:r w:rsidRPr="00A93DE6">
        <w:t>4364-C</w:t>
      </w:r>
      <w:r>
        <w:t>(3)</w:t>
      </w:r>
      <w:r w:rsidRPr="00A93DE6">
        <w:t xml:space="preserve"> </w:t>
      </w:r>
      <w:r>
        <w:t>under LD 492 (see directly above) by changing the mandatory “must” language highlighted above to discretionary “may” language.</w:t>
      </w:r>
    </w:p>
    <w:p w14:paraId="59351D64" w14:textId="77777777" w:rsidR="00E331B3" w:rsidRDefault="00E331B3"/>
    <w:p w14:paraId="6CD0C69A" w14:textId="77777777" w:rsidR="00A94A07" w:rsidRDefault="00A94A07"/>
    <w:p w14:paraId="1B2E8C53" w14:textId="77777777" w:rsidR="00A94A07" w:rsidRDefault="00A94A07"/>
    <w:p w14:paraId="59072226" w14:textId="77777777" w:rsidR="00A94A07" w:rsidRPr="00135056" w:rsidRDefault="00A94A07"/>
    <w:sectPr w:rsidR="00A94A07" w:rsidRPr="001350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0361F" w14:textId="77777777" w:rsidR="00AE4C22" w:rsidRDefault="00AE4C22" w:rsidP="00AE4C22">
      <w:r>
        <w:separator/>
      </w:r>
    </w:p>
  </w:endnote>
  <w:endnote w:type="continuationSeparator" w:id="0">
    <w:p w14:paraId="1A1B2542" w14:textId="77777777" w:rsidR="00AE4C22" w:rsidRDefault="00AE4C22" w:rsidP="00AE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BD39" w14:textId="77777777" w:rsidR="00064476" w:rsidRDefault="00064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465868"/>
      <w:docPartObj>
        <w:docPartGallery w:val="Page Numbers (Bottom of Page)"/>
        <w:docPartUnique/>
      </w:docPartObj>
    </w:sdtPr>
    <w:sdtEndPr>
      <w:rPr>
        <w:noProof/>
      </w:rPr>
    </w:sdtEndPr>
    <w:sdtContent>
      <w:p w14:paraId="1B019AFF" w14:textId="3E794373" w:rsidR="00064476" w:rsidRDefault="000644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977E3C" w14:textId="77777777" w:rsidR="00064476" w:rsidRDefault="00064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445C" w14:textId="77777777" w:rsidR="00064476" w:rsidRDefault="00064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45A3" w14:textId="77777777" w:rsidR="00AE4C22" w:rsidRDefault="00AE4C22" w:rsidP="00AE4C22">
      <w:r>
        <w:separator/>
      </w:r>
    </w:p>
  </w:footnote>
  <w:footnote w:type="continuationSeparator" w:id="0">
    <w:p w14:paraId="289672E8" w14:textId="77777777" w:rsidR="00AE4C22" w:rsidRDefault="00AE4C22" w:rsidP="00AE4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83B2" w14:textId="77777777" w:rsidR="00064476" w:rsidRDefault="00064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0171" w14:textId="77777777" w:rsidR="00064476" w:rsidRDefault="00064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089B" w14:textId="77777777" w:rsidR="00064476" w:rsidRDefault="0006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254"/>
    <w:multiLevelType w:val="hybridMultilevel"/>
    <w:tmpl w:val="AEEE979E"/>
    <w:numStyleLink w:val="Bullet"/>
  </w:abstractNum>
  <w:abstractNum w:abstractNumId="1" w15:restartNumberingAfterBreak="0">
    <w:nsid w:val="1EAB4D18"/>
    <w:multiLevelType w:val="hybridMultilevel"/>
    <w:tmpl w:val="A89CF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DB71B2"/>
    <w:multiLevelType w:val="hybridMultilevel"/>
    <w:tmpl w:val="36A6E970"/>
    <w:lvl w:ilvl="0" w:tplc="ECFAD51A">
      <w:start w:val="1"/>
      <w:numFmt w:val="bullet"/>
      <w:lvlText w:val="•"/>
      <w:lvlJc w:val="left"/>
      <w:pPr>
        <w:ind w:left="1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1E53D6">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344084C">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E3693C0">
      <w:start w:val="1"/>
      <w:numFmt w:val="bullet"/>
      <w:lvlText w:val="•"/>
      <w:lvlJc w:val="left"/>
      <w:pPr>
        <w:ind w:left="23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15848AC">
      <w:start w:val="1"/>
      <w:numFmt w:val="bullet"/>
      <w:lvlText w:val="•"/>
      <w:lvlJc w:val="left"/>
      <w:pPr>
        <w:ind w:left="30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1E672D4">
      <w:start w:val="1"/>
      <w:numFmt w:val="bullet"/>
      <w:lvlText w:val="•"/>
      <w:lvlJc w:val="left"/>
      <w:pPr>
        <w:ind w:left="37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001472">
      <w:start w:val="1"/>
      <w:numFmt w:val="bullet"/>
      <w:lvlText w:val="•"/>
      <w:lvlJc w:val="left"/>
      <w:pPr>
        <w:ind w:left="45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E09890">
      <w:start w:val="1"/>
      <w:numFmt w:val="bullet"/>
      <w:lvlText w:val="•"/>
      <w:lvlJc w:val="left"/>
      <w:pPr>
        <w:ind w:left="52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34859C4">
      <w:start w:val="1"/>
      <w:numFmt w:val="bullet"/>
      <w:lvlText w:val="•"/>
      <w:lvlJc w:val="left"/>
      <w:pPr>
        <w:ind w:left="59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BAD554B"/>
    <w:multiLevelType w:val="hybridMultilevel"/>
    <w:tmpl w:val="AEEE979E"/>
    <w:styleLink w:val="Bullet"/>
    <w:lvl w:ilvl="0" w:tplc="1C50751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759EBC3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80616E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40E901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7E42E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522E48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0F6E7C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3BA6E0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B106EA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6084046F"/>
    <w:multiLevelType w:val="hybridMultilevel"/>
    <w:tmpl w:val="43126F0E"/>
    <w:lvl w:ilvl="0" w:tplc="A752A3B0">
      <w:start w:val="1"/>
      <w:numFmt w:val="decimal"/>
      <w:lvlText w:val="(%1)"/>
      <w:lvlJc w:val="left"/>
      <w:pPr>
        <w:ind w:left="540" w:hanging="360"/>
      </w:pPr>
      <w:rPr>
        <w:rFonts w:eastAsia="Arial Unicode MS" w:cs="Arial Unicode M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E5E3806"/>
    <w:multiLevelType w:val="hybridMultilevel"/>
    <w:tmpl w:val="D55E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3017">
    <w:abstractNumId w:val="2"/>
  </w:num>
  <w:num w:numId="2" w16cid:durableId="1255438374">
    <w:abstractNumId w:val="3"/>
  </w:num>
  <w:num w:numId="3" w16cid:durableId="1835484604">
    <w:abstractNumId w:val="0"/>
  </w:num>
  <w:num w:numId="4" w16cid:durableId="1913192835">
    <w:abstractNumId w:val="1"/>
  </w:num>
  <w:num w:numId="5" w16cid:durableId="1817380797">
    <w:abstractNumId w:val="5"/>
  </w:num>
  <w:num w:numId="6" w16cid:durableId="1068723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07"/>
    <w:rsid w:val="00005DBA"/>
    <w:rsid w:val="00064476"/>
    <w:rsid w:val="000C740F"/>
    <w:rsid w:val="00102265"/>
    <w:rsid w:val="001129D3"/>
    <w:rsid w:val="00135056"/>
    <w:rsid w:val="001A48EC"/>
    <w:rsid w:val="001C501C"/>
    <w:rsid w:val="001E13CF"/>
    <w:rsid w:val="001E39BD"/>
    <w:rsid w:val="001E4D25"/>
    <w:rsid w:val="00217416"/>
    <w:rsid w:val="003011A3"/>
    <w:rsid w:val="00335680"/>
    <w:rsid w:val="00482AF8"/>
    <w:rsid w:val="004B76FE"/>
    <w:rsid w:val="004C57D1"/>
    <w:rsid w:val="004D32E4"/>
    <w:rsid w:val="005E7D22"/>
    <w:rsid w:val="006D7671"/>
    <w:rsid w:val="007F432A"/>
    <w:rsid w:val="007F4F02"/>
    <w:rsid w:val="008A1483"/>
    <w:rsid w:val="008D1D67"/>
    <w:rsid w:val="00903624"/>
    <w:rsid w:val="009109A9"/>
    <w:rsid w:val="00922928"/>
    <w:rsid w:val="00946EBA"/>
    <w:rsid w:val="00947626"/>
    <w:rsid w:val="0095485E"/>
    <w:rsid w:val="00A766DC"/>
    <w:rsid w:val="00A94A07"/>
    <w:rsid w:val="00AB0B9E"/>
    <w:rsid w:val="00AB67F2"/>
    <w:rsid w:val="00AE4C22"/>
    <w:rsid w:val="00AF2567"/>
    <w:rsid w:val="00B535BF"/>
    <w:rsid w:val="00B92281"/>
    <w:rsid w:val="00BB310B"/>
    <w:rsid w:val="00C00DEA"/>
    <w:rsid w:val="00C67937"/>
    <w:rsid w:val="00D733AE"/>
    <w:rsid w:val="00D95B98"/>
    <w:rsid w:val="00DF045E"/>
    <w:rsid w:val="00E27FF8"/>
    <w:rsid w:val="00E31200"/>
    <w:rsid w:val="00E331B3"/>
    <w:rsid w:val="00EC695D"/>
    <w:rsid w:val="00F00814"/>
    <w:rsid w:val="00F14D6D"/>
    <w:rsid w:val="00F7429D"/>
    <w:rsid w:val="00FC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2085"/>
  <w15:chartTrackingRefBased/>
  <w15:docId w15:val="{EFBCC675-6D9D-41BF-BE5D-939B823C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A07"/>
    <w:pPr>
      <w:pBdr>
        <w:top w:val="nil"/>
        <w:left w:val="nil"/>
        <w:bottom w:val="nil"/>
        <w:right w:val="nil"/>
        <w:between w:val="nil"/>
        <w:bar w:val="nil"/>
      </w:pBdr>
    </w:pPr>
    <w:rPr>
      <w:rFonts w:eastAsia="Arial Unicode MS" w:cs="Times New Roman"/>
      <w:kern w:val="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4A07"/>
    <w:pPr>
      <w:pBdr>
        <w:top w:val="nil"/>
        <w:left w:val="nil"/>
        <w:bottom w:val="nil"/>
        <w:right w:val="nil"/>
        <w:between w:val="nil"/>
        <w:bar w:val="nil"/>
      </w:pBdr>
    </w:pPr>
    <w:rPr>
      <w:rFonts w:ascii="Helvetica Neue" w:eastAsia="Helvetica Neue" w:hAnsi="Helvetica Neue" w:cs="Helvetica Neue"/>
      <w:color w:val="000000"/>
      <w:kern w:val="0"/>
      <w:sz w:val="22"/>
      <w:szCs w:val="22"/>
      <w:bdr w:val="nil"/>
    </w:rPr>
  </w:style>
  <w:style w:type="numbering" w:customStyle="1" w:styleId="Bullet">
    <w:name w:val="Bullet"/>
    <w:rsid w:val="00A94A07"/>
    <w:pPr>
      <w:numPr>
        <w:numId w:val="2"/>
      </w:numPr>
    </w:pPr>
  </w:style>
  <w:style w:type="paragraph" w:styleId="ListParagraph">
    <w:name w:val="List Paragraph"/>
    <w:basedOn w:val="Normal"/>
    <w:uiPriority w:val="34"/>
    <w:qFormat/>
    <w:rsid w:val="00A94A07"/>
    <w:pPr>
      <w:ind w:left="720"/>
      <w:contextualSpacing/>
    </w:pPr>
  </w:style>
  <w:style w:type="paragraph" w:styleId="Header">
    <w:name w:val="header"/>
    <w:basedOn w:val="Normal"/>
    <w:link w:val="HeaderChar"/>
    <w:uiPriority w:val="99"/>
    <w:unhideWhenUsed/>
    <w:rsid w:val="00AE4C22"/>
    <w:pPr>
      <w:tabs>
        <w:tab w:val="center" w:pos="4680"/>
        <w:tab w:val="right" w:pos="9360"/>
      </w:tabs>
    </w:pPr>
  </w:style>
  <w:style w:type="character" w:customStyle="1" w:styleId="HeaderChar">
    <w:name w:val="Header Char"/>
    <w:basedOn w:val="DefaultParagraphFont"/>
    <w:link w:val="Header"/>
    <w:uiPriority w:val="99"/>
    <w:rsid w:val="00AE4C22"/>
    <w:rPr>
      <w:rFonts w:eastAsia="Arial Unicode MS" w:cs="Times New Roman"/>
      <w:kern w:val="0"/>
      <w:bdr w:val="nil"/>
    </w:rPr>
  </w:style>
  <w:style w:type="paragraph" w:styleId="Footer">
    <w:name w:val="footer"/>
    <w:basedOn w:val="Normal"/>
    <w:link w:val="FooterChar"/>
    <w:uiPriority w:val="99"/>
    <w:unhideWhenUsed/>
    <w:rsid w:val="00AE4C22"/>
    <w:pPr>
      <w:tabs>
        <w:tab w:val="center" w:pos="4680"/>
        <w:tab w:val="right" w:pos="9360"/>
      </w:tabs>
    </w:pPr>
  </w:style>
  <w:style w:type="character" w:customStyle="1" w:styleId="FooterChar">
    <w:name w:val="Footer Char"/>
    <w:basedOn w:val="DefaultParagraphFont"/>
    <w:link w:val="Footer"/>
    <w:uiPriority w:val="99"/>
    <w:rsid w:val="00AE4C22"/>
    <w:rPr>
      <w:rFonts w:eastAsia="Arial Unicode MS" w:cs="Times New Roman"/>
      <w:kern w:val="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 D W C L I E N T ! 1 0 7 2 6 9 8 7 . 1 < / d o c u m e n t i d >  
     < s e n d e r i d > L B R < / s e n d e r i d >  
     < s e n d e r e m a i l > L R A C H I N @ D W M L A W . C O M < / s e n d e r e m a i l >  
     < l a s t m o d i f i e d > 2 0 2 4 - 0 5 - 2 0 T 2 3 : 4 4 : 0 0 . 0 0 0 0 0 0 0 - 0 4 : 0 0 < / l a s t m o d i f i e d >  
     < d a t a b a s e > D W C L I E N T < / d a t a b a s e >  
 < / p r o p e r t i e s > 
</file>

<file path=docProps/app.xml><?xml version="1.0" encoding="utf-8"?>
<Properties xmlns="http://schemas.openxmlformats.org/officeDocument/2006/extended-properties" xmlns:vt="http://schemas.openxmlformats.org/officeDocument/2006/docPropsVTypes">
  <Template>Normal.dotm</Template>
  <TotalTime>43</TotalTime>
  <Pages>4</Pages>
  <Words>1190</Words>
  <Characters>6784</Characters>
  <Application>Microsoft Office Word</Application>
  <DocSecurity>0</DocSecurity>
  <Lines>56</Lines>
  <Paragraphs>15</Paragraphs>
  <ScaleCrop>false</ScaleCrop>
  <Company>Drummond Woodsum</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 Rachin</dc:creator>
  <cp:keywords/>
  <dc:description/>
  <cp:lastModifiedBy>Leah B. Rachin</cp:lastModifiedBy>
  <cp:revision>73</cp:revision>
  <dcterms:created xsi:type="dcterms:W3CDTF">2024-05-21T02:36:00Z</dcterms:created>
  <dcterms:modified xsi:type="dcterms:W3CDTF">2024-05-21T03:44:00Z</dcterms:modified>
</cp:coreProperties>
</file>